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2023年</w:t>
      </w:r>
      <w:r>
        <w:rPr>
          <w:rFonts w:hint="eastAsia" w:ascii="宋体" w:hAnsi="宋体" w:eastAsia="宋体" w:cs="宋体"/>
          <w:b/>
          <w:bCs/>
          <w:sz w:val="44"/>
          <w:szCs w:val="44"/>
        </w:rPr>
        <w:t>重点支出及重大投资项目绩效情况</w:t>
      </w:r>
    </w:p>
    <w:p>
      <w:pPr>
        <w:ind w:firstLine="480" w:firstLineChars="150"/>
        <w:rPr>
          <w:rFonts w:hint="eastAsia" w:ascii="Times New Roman" w:hAnsi="Times New Roman" w:eastAsia="仿宋_GB2312"/>
          <w:sz w:val="32"/>
          <w:szCs w:val="32"/>
        </w:rPr>
      </w:pPr>
    </w:p>
    <w:p>
      <w:pPr>
        <w:ind w:firstLine="480" w:firstLineChars="15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为进一步提高财政资金使用效益，强化部门财政支出责任和效率，锡盟财政局对202</w:t>
      </w:r>
      <w:r>
        <w:rPr>
          <w:rFonts w:ascii="CESI仿宋-GB2312" w:hAnsi="CESI仿宋-GB2312" w:eastAsia="CESI仿宋-GB2312" w:cs="CESI仿宋-GB2312"/>
          <w:sz w:val="32"/>
          <w:szCs w:val="32"/>
        </w:rPr>
        <w:t>3</w:t>
      </w:r>
      <w:r>
        <w:rPr>
          <w:rFonts w:hint="eastAsia" w:ascii="CESI仿宋-GB2312" w:hAnsi="CESI仿宋-GB2312" w:eastAsia="CESI仿宋-GB2312" w:cs="CESI仿宋-GB2312"/>
          <w:sz w:val="32"/>
          <w:szCs w:val="32"/>
        </w:rPr>
        <w:t>年盟本级财政预算支出的</w:t>
      </w:r>
      <w:r>
        <w:rPr>
          <w:rFonts w:ascii="CESI仿宋-GB2312" w:hAnsi="CESI仿宋-GB2312" w:eastAsia="CESI仿宋-GB2312" w:cs="CESI仿宋-GB2312"/>
          <w:sz w:val="32"/>
          <w:szCs w:val="32"/>
        </w:rPr>
        <w:t>9</w:t>
      </w:r>
      <w:r>
        <w:rPr>
          <w:rFonts w:hint="eastAsia" w:ascii="CESI仿宋-GB2312" w:hAnsi="CESI仿宋-GB2312" w:eastAsia="CESI仿宋-GB2312" w:cs="CESI仿宋-GB2312"/>
          <w:sz w:val="32"/>
          <w:szCs w:val="32"/>
        </w:rPr>
        <w:t>0个重点项目和60个再评价项目进行了绩效评价，共涉及预算安排资金</w:t>
      </w:r>
      <w:r>
        <w:rPr>
          <w:rFonts w:ascii="仿宋" w:hAnsi="仿宋" w:eastAsia="仿宋" w:cs="仿宋"/>
          <w:sz w:val="32"/>
          <w:szCs w:val="32"/>
        </w:rPr>
        <w:t>5</w:t>
      </w:r>
      <w:r>
        <w:rPr>
          <w:rFonts w:hint="eastAsia" w:ascii="仿宋" w:hAnsi="仿宋" w:eastAsia="仿宋" w:cs="仿宋"/>
          <w:sz w:val="32"/>
          <w:szCs w:val="32"/>
        </w:rPr>
        <w:t>1.25</w:t>
      </w:r>
      <w:r>
        <w:rPr>
          <w:rFonts w:hint="eastAsia" w:ascii="CESI仿宋-GB2312" w:hAnsi="CESI仿宋-GB2312" w:eastAsia="CESI仿宋-GB2312" w:cs="CESI仿宋-GB2312"/>
          <w:sz w:val="32"/>
          <w:szCs w:val="32"/>
        </w:rPr>
        <w:t>亿元（其中，预算安排</w:t>
      </w:r>
      <w:r>
        <w:rPr>
          <w:rFonts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,000万以上的重大项目共</w:t>
      </w:r>
      <w:r>
        <w:rPr>
          <w:rFonts w:ascii="CESI仿宋-GB2312" w:hAnsi="CESI仿宋-GB2312" w:eastAsia="CESI仿宋-GB2312" w:cs="CESI仿宋-GB2312"/>
          <w:sz w:val="32"/>
          <w:szCs w:val="32"/>
        </w:rPr>
        <w:t>67</w:t>
      </w:r>
      <w:r>
        <w:rPr>
          <w:rFonts w:hint="eastAsia" w:ascii="CESI仿宋-GB2312" w:hAnsi="CESI仿宋-GB2312" w:eastAsia="CESI仿宋-GB2312" w:cs="CESI仿宋-GB2312"/>
          <w:sz w:val="32"/>
          <w:szCs w:val="32"/>
        </w:rPr>
        <w:t>个，涉及预算安排资金</w:t>
      </w:r>
      <w:r>
        <w:rPr>
          <w:rFonts w:ascii="CESI仿宋-GB2312" w:hAnsi="CESI仿宋-GB2312" w:eastAsia="CESI仿宋-GB2312" w:cs="CESI仿宋-GB2312"/>
          <w:sz w:val="32"/>
          <w:szCs w:val="32"/>
        </w:rPr>
        <w:t>50</w:t>
      </w:r>
      <w:r>
        <w:rPr>
          <w:rFonts w:hint="eastAsia" w:ascii="CESI仿宋-GB2312" w:hAnsi="CESI仿宋-GB2312" w:eastAsia="CESI仿宋-GB2312" w:cs="CESI仿宋-GB2312"/>
          <w:sz w:val="32"/>
          <w:szCs w:val="32"/>
        </w:rPr>
        <w:t>.</w:t>
      </w:r>
      <w:r>
        <w:rPr>
          <w:rFonts w:ascii="CESI仿宋-GB2312" w:hAnsi="CESI仿宋-GB2312" w:eastAsia="CESI仿宋-GB2312" w:cs="CESI仿宋-GB2312"/>
          <w:sz w:val="32"/>
          <w:szCs w:val="32"/>
        </w:rPr>
        <w:t>23</w:t>
      </w:r>
      <w:r>
        <w:rPr>
          <w:rFonts w:hint="eastAsia" w:ascii="CESI仿宋-GB2312" w:hAnsi="CESI仿宋-GB2312" w:eastAsia="CESI仿宋-GB2312" w:cs="CESI仿宋-GB2312"/>
          <w:sz w:val="32"/>
          <w:szCs w:val="32"/>
        </w:rPr>
        <w:t>亿元，包含一般公共预算</w:t>
      </w:r>
      <w:r>
        <w:rPr>
          <w:rFonts w:ascii="CESI仿宋-GB2312" w:hAnsi="CESI仿宋-GB2312" w:eastAsia="CESI仿宋-GB2312" w:cs="CESI仿宋-GB2312"/>
          <w:sz w:val="32"/>
          <w:szCs w:val="32"/>
        </w:rPr>
        <w:t>13.07</w:t>
      </w:r>
      <w:r>
        <w:rPr>
          <w:rFonts w:hint="eastAsia" w:ascii="CESI仿宋-GB2312" w:hAnsi="CESI仿宋-GB2312" w:eastAsia="CESI仿宋-GB2312" w:cs="CESI仿宋-GB2312"/>
          <w:sz w:val="32"/>
          <w:szCs w:val="32"/>
        </w:rPr>
        <w:t>亿元，债券资金</w:t>
      </w:r>
      <w:r>
        <w:rPr>
          <w:rFonts w:ascii="CESI仿宋-GB2312" w:hAnsi="CESI仿宋-GB2312" w:eastAsia="CESI仿宋-GB2312" w:cs="CESI仿宋-GB2312"/>
          <w:sz w:val="32"/>
          <w:szCs w:val="32"/>
        </w:rPr>
        <w:t>4</w:t>
      </w:r>
      <w:r>
        <w:rPr>
          <w:rFonts w:hint="eastAsia" w:ascii="CESI仿宋-GB2312" w:hAnsi="CESI仿宋-GB2312" w:eastAsia="CESI仿宋-GB2312" w:cs="CESI仿宋-GB2312"/>
          <w:sz w:val="32"/>
          <w:szCs w:val="32"/>
        </w:rPr>
        <w:t>.</w:t>
      </w:r>
      <w:r>
        <w:rPr>
          <w:rFonts w:ascii="CESI仿宋-GB2312" w:hAnsi="CESI仿宋-GB2312" w:eastAsia="CESI仿宋-GB2312" w:cs="CESI仿宋-GB2312"/>
          <w:sz w:val="32"/>
          <w:szCs w:val="32"/>
        </w:rPr>
        <w:t>15</w:t>
      </w:r>
      <w:r>
        <w:rPr>
          <w:rFonts w:hint="eastAsia" w:ascii="CESI仿宋-GB2312" w:hAnsi="CESI仿宋-GB2312" w:eastAsia="CESI仿宋-GB2312" w:cs="CESI仿宋-GB2312"/>
          <w:sz w:val="32"/>
          <w:szCs w:val="32"/>
        </w:rPr>
        <w:t>亿元、社保基金预算26.40亿元、政府性基金预算6.</w:t>
      </w:r>
      <w:r>
        <w:rPr>
          <w:rFonts w:ascii="CESI仿宋-GB2312" w:hAnsi="CESI仿宋-GB2312" w:eastAsia="CESI仿宋-GB2312" w:cs="CESI仿宋-GB2312"/>
          <w:sz w:val="32"/>
          <w:szCs w:val="32"/>
        </w:rPr>
        <w:t>61</w:t>
      </w:r>
      <w:r>
        <w:rPr>
          <w:rFonts w:hint="eastAsia" w:ascii="CESI仿宋-GB2312" w:hAnsi="CESI仿宋-GB2312" w:eastAsia="CESI仿宋-GB2312" w:cs="CESI仿宋-GB2312"/>
          <w:sz w:val="32"/>
          <w:szCs w:val="32"/>
        </w:rPr>
        <w:t>亿元）。重点评价项目和再评价项目涵盖了教育、医疗、环保、文化等重要民生领域，聚焦我盟重大基础设施建设、产业转型升级等重点领域。</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从评价结果看，90个重点评价项目中：绩效评价90分以上绩效评价结果为“有效”的项目共37个；89-80分绩效评价结果为“基本有效”的项目共34个；79-60分绩效评价结果为“一般有效”的项目共6个；60以下分绩效评价结果为“无效”的项目共13个。</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60个再评价项目中：绩效评价90分以上绩效评价结果为“有效”的项目共19个；89-80分绩效评价结果为“基本有效”的项目共32个；79-60分绩效评价结果为“一般有效”的项目共8个；60以下分绩效评价结果为“无效”的项目共1个。</w:t>
      </w:r>
    </w:p>
    <w:p>
      <w:pPr>
        <w:tabs>
          <w:tab w:val="left" w:pos="615"/>
        </w:tabs>
        <w:spacing w:line="600" w:lineRule="exact"/>
        <w:ind w:firstLine="640" w:firstLineChars="200"/>
        <w:rPr>
          <w:rFonts w:ascii="CESI仿宋-GB2312" w:hAnsi="CESI仿宋-GB2312" w:eastAsia="CESI仿宋-GB2312" w:cs="CESI仿宋-GB2312"/>
          <w:bCs/>
          <w:sz w:val="32"/>
          <w:szCs w:val="32"/>
        </w:rPr>
      </w:pPr>
      <w:r>
        <w:rPr>
          <w:rFonts w:hint="eastAsia" w:ascii="CESI仿宋-GB2312" w:hAnsi="CESI仿宋-GB2312" w:eastAsia="CESI仿宋-GB2312" w:cs="CESI仿宋-GB2312"/>
          <w:sz w:val="32"/>
          <w:szCs w:val="32"/>
        </w:rPr>
        <w:t>重点项目绩效评价等级为“无效”的13个项目：</w:t>
      </w:r>
      <w:r>
        <w:rPr>
          <w:rFonts w:hint="eastAsia" w:ascii="CESI仿宋-GB2312" w:hAnsi="CESI仿宋-GB2312" w:eastAsia="CESI仿宋-GB2312" w:cs="CESI仿宋-GB2312"/>
          <w:b/>
          <w:sz w:val="32"/>
          <w:szCs w:val="32"/>
        </w:rPr>
        <w:t>锡盟发改委：机场二期改扩建建设项目,</w:t>
      </w:r>
      <w:r>
        <w:rPr>
          <w:rFonts w:hint="eastAsia" w:ascii="CESI仿宋-GB2312" w:hAnsi="CESI仿宋-GB2312" w:eastAsia="CESI仿宋-GB2312" w:cs="CESI仿宋-GB2312"/>
          <w:bCs/>
          <w:sz w:val="32"/>
          <w:szCs w:val="32"/>
        </w:rPr>
        <w:t>绩效目标填报规范性不足。项目绩效目标申报表填报不够规范，年度总体目标设置较为笼统，未明确项目预期达到的产出和效果；预算执行率低。截至2023年12月31日该项目实际支出资金为647.21万元，预算执行率7.61%。截至2023年12月31日该项目处于停滞状态，产出指标未达到年初设定目标值；且年初设定成本指标“其他手续费用执行情况≤100万元”，实际执行金额为570.26万元，超出年初绩效目标申报表设定额度470.26万元。项目效果方面，项目停滞，无法衡量相关效益，截至2023年12月31日该项目处于停滞状态，无法衡量该项目是否可产生相应的效益。未按时开展绩效自评工作。</w:t>
      </w:r>
      <w:r>
        <w:rPr>
          <w:rFonts w:hint="eastAsia" w:ascii="CESI仿宋-GB2312" w:hAnsi="CESI仿宋-GB2312" w:eastAsia="CESI仿宋-GB2312" w:cs="CESI仿宋-GB2312"/>
          <w:b/>
          <w:sz w:val="32"/>
          <w:szCs w:val="32"/>
        </w:rPr>
        <w:t>人民防空办公室：防空地下室易地建设费项目，</w:t>
      </w:r>
      <w:r>
        <w:rPr>
          <w:rFonts w:hint="eastAsia" w:ascii="CESI仿宋-GB2312" w:hAnsi="CESI仿宋-GB2312" w:eastAsia="CESI仿宋-GB2312" w:cs="CESI仿宋-GB2312"/>
          <w:bCs/>
          <w:sz w:val="32"/>
          <w:szCs w:val="32"/>
        </w:rPr>
        <w:t>绩效目标设定不够完整，个别绩效指标设定不够清晰，绩效自评不及时。续建火车站广场人防工程未按计划完工投入使用。截至2023年12月31日，续建火车站广场人防工程已竣工待验收，年度目标完成率95%，未能实现2023年验收合格投入使用的年度目标。项目在2023年10月已经全部完工，但因暖通事宜多次和热电公司、集通公司协商未能得到解决。2023年12月8日，锡盟人防办按照锡林浩特热电公司的要求提交了集中供热申请和相关文件资料，于12月15日与锡林浩特热电公司签订供热合同并足额缴纳供暖费，直至2024年1月29日才最终通暖，导致该项工程验收时间滞后。因2023年锡盟防空地下室易地建设费收入资金不能满足项目建设资金需求，导致项目预算调减，部分项目未能按计划实施。</w:t>
      </w:r>
      <w:r>
        <w:rPr>
          <w:rFonts w:hint="eastAsia" w:ascii="CESI仿宋-GB2312" w:hAnsi="CESI仿宋-GB2312" w:eastAsia="CESI仿宋-GB2312" w:cs="CESI仿宋-GB2312"/>
          <w:b/>
          <w:sz w:val="32"/>
          <w:szCs w:val="32"/>
        </w:rPr>
        <w:t>锡盟交通运输局：省道308线小河西至上都段一级公路“统贷分还”欠款项目，</w:t>
      </w:r>
      <w:r>
        <w:rPr>
          <w:rFonts w:hint="eastAsia" w:ascii="CESI仿宋-GB2312" w:hAnsi="CESI仿宋-GB2312" w:eastAsia="CESI仿宋-GB2312" w:cs="CESI仿宋-GB2312"/>
          <w:bCs/>
          <w:sz w:val="32"/>
          <w:szCs w:val="32"/>
        </w:rPr>
        <w:t>该项目尚未实施，根据《内蒙古自治区交通运输厅财政厅关于“统贷分还”公路债务化解方案》《自治区19条“统贷分还”公路资产、人员划转工作实施方案》要求，2023年度推进省道308线小河西至上都段公路及补充工程公路资产、人员划转至内蒙古高速公路集团有限公司工作，因内蒙古高速公路集团有限公司重组，“省道308线小河西至上都段一级公路“统贷分还”欠款项目资金未形成实际支出，该项目资金由盟财政局收回，绩效目标实现程度为0%。</w:t>
      </w:r>
      <w:r>
        <w:rPr>
          <w:rFonts w:hint="eastAsia" w:ascii="CESI仿宋-GB2312" w:hAnsi="CESI仿宋-GB2312" w:eastAsia="CESI仿宋-GB2312" w:cs="CESI仿宋-GB2312"/>
          <w:b/>
          <w:sz w:val="32"/>
          <w:szCs w:val="32"/>
        </w:rPr>
        <w:t>锡盟工信局：扶持羊皮羊尾加工利用产业发展项目，</w:t>
      </w:r>
      <w:r>
        <w:rPr>
          <w:rFonts w:hint="eastAsia" w:ascii="CESI仿宋-GB2312" w:hAnsi="CESI仿宋-GB2312" w:eastAsia="CESI仿宋-GB2312" w:cs="CESI仿宋-GB2312"/>
          <w:bCs/>
          <w:sz w:val="32"/>
          <w:szCs w:val="32"/>
        </w:rPr>
        <w:t>项目立项，实施存在问题。项目未经多方论证，导致立项后不能按计划实施。因项目的实施主体是企业，企业在实施项目建设的同时，要兼顾原有产业和生产线的运行。且羊皮综合利用项目建设一般属于屠宰加工企业的改造项目，在确保原有主要生产任务的同时，需有充足的流动资金，保证屠宰加工季节羊源收购资金充足。2023年因消费市场购买力不足，企业回笼资金速度缓慢，因此导致羊皮综合利用项目实施进度减缓，全部在建项目建设进度有序推进，但均未达到支持标准。</w:t>
      </w:r>
      <w:r>
        <w:rPr>
          <w:rFonts w:hint="eastAsia" w:ascii="CESI仿宋-GB2312" w:hAnsi="CESI仿宋-GB2312" w:eastAsia="CESI仿宋-GB2312" w:cs="CESI仿宋-GB2312"/>
          <w:b/>
          <w:sz w:val="32"/>
          <w:szCs w:val="32"/>
        </w:rPr>
        <w:t>中共锡林郭勒盟委员会党校：党校报告厅LED显示屏项目，</w:t>
      </w:r>
      <w:r>
        <w:rPr>
          <w:rFonts w:hint="eastAsia" w:ascii="CESI仿宋-GB2312" w:hAnsi="CESI仿宋-GB2312" w:eastAsia="CESI仿宋-GB2312" w:cs="CESI仿宋-GB2312"/>
          <w:bCs/>
          <w:sz w:val="32"/>
          <w:szCs w:val="32"/>
        </w:rPr>
        <w:t>项目已完成招标代理，完成技术设计，未完成供应商询价及采购工作，项目整体建设目标未完成，预算执行率仅2.93%。项目产出、项目效益未达到绩效目标。</w:t>
      </w:r>
      <w:r>
        <w:rPr>
          <w:rFonts w:hint="eastAsia" w:ascii="CESI仿宋-GB2312" w:hAnsi="CESI仿宋-GB2312" w:eastAsia="CESI仿宋-GB2312" w:cs="CESI仿宋-GB2312"/>
          <w:b/>
          <w:sz w:val="32"/>
          <w:szCs w:val="32"/>
        </w:rPr>
        <w:t>锡盟消防救援支队：车辆装备购置项目，</w:t>
      </w:r>
      <w:r>
        <w:rPr>
          <w:rFonts w:hint="eastAsia" w:ascii="CESI仿宋-GB2312" w:hAnsi="CESI仿宋-GB2312" w:eastAsia="CESI仿宋-GB2312" w:cs="CESI仿宋-GB2312"/>
          <w:bCs/>
          <w:sz w:val="32"/>
          <w:szCs w:val="32"/>
        </w:rPr>
        <w:t>受国家综合性消防救援队伍采购工作改革影响，本项目未按照年初预期目标完成相关工作，该项目未实施。</w:t>
      </w:r>
      <w:r>
        <w:rPr>
          <w:rFonts w:hint="eastAsia" w:ascii="CESI仿宋-GB2312" w:hAnsi="CESI仿宋-GB2312" w:eastAsia="CESI仿宋-GB2312" w:cs="CESI仿宋-GB2312"/>
          <w:b/>
          <w:sz w:val="32"/>
          <w:szCs w:val="32"/>
        </w:rPr>
        <w:t>交通运输事业发展中心：收费公路养护经费项目，该项目尚未实施。</w:t>
      </w:r>
      <w:r>
        <w:rPr>
          <w:rFonts w:hint="eastAsia" w:ascii="CESI仿宋-GB2312" w:hAnsi="CESI仿宋-GB2312" w:eastAsia="CESI仿宋-GB2312" w:cs="CESI仿宋-GB2312"/>
          <w:bCs/>
          <w:sz w:val="32"/>
          <w:szCs w:val="32"/>
        </w:rPr>
        <w:t>因该项目资金来源于车辆通行费收入，财政根据当年车辆通行费入库情况拨付收费公路养护支出，财政尚未拨付收费公路养护支出，项目资金尚未支出，绩效目标实现程度为0%。</w:t>
      </w:r>
      <w:r>
        <w:rPr>
          <w:rFonts w:hint="eastAsia" w:ascii="CESI仿宋-GB2312" w:hAnsi="CESI仿宋-GB2312" w:eastAsia="CESI仿宋-GB2312" w:cs="CESI仿宋-GB2312"/>
          <w:b/>
          <w:sz w:val="32"/>
          <w:szCs w:val="32"/>
        </w:rPr>
        <w:t>锡盟中心医院：智慧影像中心建设项目，</w:t>
      </w:r>
      <w:r>
        <w:rPr>
          <w:rFonts w:hint="eastAsia" w:ascii="CESI仿宋-GB2312" w:hAnsi="CESI仿宋-GB2312" w:eastAsia="CESI仿宋-GB2312" w:cs="CESI仿宋-GB2312"/>
          <w:bCs/>
          <w:sz w:val="32"/>
          <w:szCs w:val="32"/>
        </w:rPr>
        <w:t>项目产出、项目效益未达到绩效目标，该项目预算资金为460.00万元，截至2023年12月31日，该项目未完工，资金尚未支付，预算执行率为0%。</w:t>
      </w:r>
      <w:r>
        <w:rPr>
          <w:rFonts w:hint="eastAsia" w:ascii="CESI仿宋-GB2312" w:hAnsi="CESI仿宋-GB2312" w:eastAsia="CESI仿宋-GB2312" w:cs="CESI仿宋-GB2312"/>
          <w:b/>
          <w:sz w:val="32"/>
          <w:szCs w:val="32"/>
        </w:rPr>
        <w:t>锡盟蒙医医院：2022年既有建筑节能改造项目，</w:t>
      </w:r>
      <w:r>
        <w:rPr>
          <w:rFonts w:hint="eastAsia" w:ascii="CESI仿宋-GB2312" w:hAnsi="CESI仿宋-GB2312" w:eastAsia="CESI仿宋-GB2312" w:cs="CESI仿宋-GB2312"/>
          <w:bCs/>
          <w:sz w:val="32"/>
          <w:szCs w:val="32"/>
        </w:rPr>
        <w:t>截至2023年12月31日该项目仍未开始实施，项目年度绩效目标完成值为0。</w:t>
      </w:r>
      <w:r>
        <w:rPr>
          <w:rFonts w:hint="eastAsia" w:ascii="CESI仿宋-GB2312" w:hAnsi="CESI仿宋-GB2312" w:eastAsia="CESI仿宋-GB2312" w:cs="CESI仿宋-GB2312"/>
          <w:b/>
          <w:sz w:val="32"/>
          <w:szCs w:val="32"/>
        </w:rPr>
        <w:t>锡盟生态环境局：重点流域监控预警能力建设项目，</w:t>
      </w:r>
      <w:r>
        <w:rPr>
          <w:rFonts w:hint="eastAsia" w:ascii="CESI仿宋-GB2312" w:hAnsi="CESI仿宋-GB2312" w:eastAsia="CESI仿宋-GB2312" w:cs="CESI仿宋-GB2312"/>
          <w:bCs/>
          <w:sz w:val="32"/>
          <w:szCs w:val="32"/>
        </w:rPr>
        <w:t>项目资金共800万元，截至2023年12月31日该项目资金共支出11.85万元，预算执行率为1.48%,项目资金支出主要用于重点流域监控预警能力建设项目可研极初步设计及投资概算技术服务委托业务费、锡盟重点流域预警能力建设项目工程造价咨询服务委托业务费以及锡盟重点流域监控预警能力建设项目绩效评审委托业务费的支出。于8月25日发布招标公告，9月18日开标。按照《重点流域开标事宜上的批示》，本项目经批示，于2023年9月15日暂停开标。</w:t>
      </w:r>
      <w:r>
        <w:rPr>
          <w:rFonts w:hint="eastAsia" w:ascii="CESI仿宋-GB2312" w:hAnsi="CESI仿宋-GB2312" w:eastAsia="CESI仿宋-GB2312" w:cs="CESI仿宋-GB2312"/>
          <w:b/>
          <w:sz w:val="32"/>
          <w:szCs w:val="32"/>
        </w:rPr>
        <w:t>财政代编：南部旗县重点工业园区建设资金，</w:t>
      </w:r>
      <w:r>
        <w:rPr>
          <w:rFonts w:hint="eastAsia" w:ascii="CESI仿宋-GB2312" w:hAnsi="CESI仿宋-GB2312" w:eastAsia="CESI仿宋-GB2312" w:cs="CESI仿宋-GB2312"/>
          <w:bCs/>
          <w:sz w:val="32"/>
          <w:szCs w:val="32"/>
        </w:rPr>
        <w:t>因下半年财政资金预算进行调整，决定将该专项资金收回并进行统筹使用，因此该项目未</w:t>
      </w:r>
      <w:bookmarkStart w:id="0" w:name="_GoBack"/>
      <w:bookmarkEnd w:id="0"/>
      <w:r>
        <w:rPr>
          <w:rFonts w:hint="eastAsia" w:ascii="CESI仿宋-GB2312" w:hAnsi="CESI仿宋-GB2312" w:eastAsia="CESI仿宋-GB2312" w:cs="CESI仿宋-GB2312"/>
          <w:bCs/>
          <w:sz w:val="32"/>
          <w:szCs w:val="32"/>
        </w:rPr>
        <w:t>实施</w:t>
      </w:r>
      <w:r>
        <w:rPr>
          <w:rFonts w:hint="eastAsia" w:ascii="CESI仿宋-GB2312" w:hAnsi="CESI仿宋-GB2312" w:eastAsia="CESI仿宋-GB2312" w:cs="CESI仿宋-GB2312"/>
          <w:b/>
          <w:sz w:val="32"/>
          <w:szCs w:val="32"/>
        </w:rPr>
        <w:t>；2023年返还大唐价款项目，</w:t>
      </w:r>
      <w:r>
        <w:rPr>
          <w:rFonts w:hint="eastAsia" w:ascii="CESI仿宋-GB2312" w:hAnsi="CESI仿宋-GB2312" w:eastAsia="CESI仿宋-GB2312" w:cs="CESI仿宋-GB2312"/>
          <w:bCs/>
          <w:sz w:val="32"/>
          <w:szCs w:val="32"/>
        </w:rPr>
        <w:t>根据锡林郭勒盟行政公署2023年9月20日出具的《关于2023年盟本级财政第四次预算调整方案的报告》，“拟对年初预算安排的部分项目资金和结余资金进行调减收回”，其中包括大唐返还价款7333万元</w:t>
      </w:r>
      <w:r>
        <w:rPr>
          <w:rFonts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rPr>
        <w:t>根据会议决议，该项目2023年度未予实施。</w:t>
      </w:r>
      <w:r>
        <w:rPr>
          <w:rFonts w:hint="eastAsia" w:ascii="CESI仿宋-GB2312" w:hAnsi="CESI仿宋-GB2312" w:eastAsia="CESI仿宋-GB2312" w:cs="CESI仿宋-GB2312"/>
          <w:b/>
          <w:sz w:val="32"/>
          <w:szCs w:val="32"/>
        </w:rPr>
        <w:t>二连浩特市：向北开发开放试验区补助资金项目，</w:t>
      </w:r>
      <w:r>
        <w:rPr>
          <w:rFonts w:hint="eastAsia" w:ascii="CESI仿宋-GB2312" w:hAnsi="CESI仿宋-GB2312" w:eastAsia="CESI仿宋-GB2312" w:cs="CESI仿宋-GB2312"/>
          <w:bCs/>
          <w:sz w:val="32"/>
          <w:szCs w:val="32"/>
        </w:rPr>
        <w:t>根据锡林郭勒盟行政公署2023年9月20日出具的《关于2023年盟本级财政第四次预算调整方案的报告》，“为实现收支平衡，盟本级政府性基金预算调减二连浩特市向北开发开放试验区补助资金5000万元”</w:t>
      </w:r>
      <w:r>
        <w:rPr>
          <w:rFonts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rPr>
        <w:t>根据该项会议决议，该项目2023年度未予实施。</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再评价项目绩效评价等级为“无效”的1个项目：</w:t>
      </w:r>
      <w:r>
        <w:rPr>
          <w:rFonts w:hint="eastAsia" w:ascii="CESI仿宋-GB2312" w:hAnsi="CESI仿宋-GB2312" w:eastAsia="CESI仿宋-GB2312" w:cs="CESI仿宋-GB2312"/>
          <w:b/>
          <w:bCs/>
          <w:sz w:val="32"/>
          <w:szCs w:val="32"/>
        </w:rPr>
        <w:t>锡盟宣传部：全盟两个打造现场观摩暨经验交流会项目，</w:t>
      </w:r>
      <w:r>
        <w:rPr>
          <w:rFonts w:hint="eastAsia" w:ascii="CESI仿宋-GB2312" w:hAnsi="CESI仿宋-GB2312" w:eastAsia="CESI仿宋-GB2312" w:cs="CESI仿宋-GB2312"/>
          <w:sz w:val="32"/>
          <w:szCs w:val="32"/>
        </w:rPr>
        <w:t>此项目</w:t>
      </w:r>
      <w:r>
        <w:rPr>
          <w:rFonts w:hint="eastAsia" w:ascii="华文仿宋" w:hAnsi="华文仿宋" w:eastAsia="华文仿宋" w:cs="华文仿宋"/>
          <w:sz w:val="32"/>
          <w:szCs w:val="40"/>
        </w:rPr>
        <w:t>由自治区党委宣传部统一安排部署，2023年</w:t>
      </w:r>
      <w:r>
        <w:rPr>
          <w:rFonts w:ascii="华文仿宋" w:hAnsi="华文仿宋" w:eastAsia="华文仿宋" w:cs="华文仿宋"/>
          <w:sz w:val="32"/>
          <w:szCs w:val="40"/>
        </w:rPr>
        <w:t>自治区党委宣传部</w:t>
      </w:r>
      <w:r>
        <w:rPr>
          <w:rFonts w:hint="eastAsia" w:ascii="华文仿宋" w:hAnsi="华文仿宋" w:eastAsia="华文仿宋" w:cs="华文仿宋"/>
          <w:sz w:val="32"/>
          <w:szCs w:val="40"/>
        </w:rPr>
        <w:t>未开展“两个打造”项目工作</w:t>
      </w:r>
      <w:r>
        <w:rPr>
          <w:rFonts w:ascii="华文仿宋" w:hAnsi="华文仿宋" w:eastAsia="华文仿宋" w:cs="华文仿宋"/>
          <w:sz w:val="32"/>
          <w:szCs w:val="40"/>
        </w:rPr>
        <w:t>，</w:t>
      </w:r>
      <w:r>
        <w:rPr>
          <w:rFonts w:hint="eastAsia" w:ascii="华文仿宋" w:hAnsi="华文仿宋" w:eastAsia="华文仿宋" w:cs="华文仿宋"/>
          <w:sz w:val="32"/>
          <w:szCs w:val="40"/>
        </w:rPr>
        <w:t>且</w:t>
      </w:r>
      <w:r>
        <w:rPr>
          <w:rFonts w:ascii="华文仿宋" w:hAnsi="华文仿宋" w:eastAsia="华文仿宋" w:cs="华文仿宋"/>
          <w:sz w:val="32"/>
          <w:szCs w:val="40"/>
        </w:rPr>
        <w:t>未召开工作推进会</w:t>
      </w:r>
      <w:r>
        <w:rPr>
          <w:rFonts w:hint="eastAsia" w:ascii="华文仿宋" w:hAnsi="华文仿宋" w:eastAsia="华文仿宋" w:cs="华文仿宋"/>
          <w:sz w:val="32"/>
          <w:szCs w:val="40"/>
        </w:rPr>
        <w:t>，锡盟宣传部按照自治区工作安排，未召开全盟两个打造现场观摩暨经验交流会，造成项目资金闲置。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CESI楷体-GB2312" w:hAnsi="CESI楷体-GB2312" w:eastAsia="CESI楷体-GB2312" w:cs="CESI楷体-GB2312"/>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CESI仿宋-GB2312" w:hAnsi="CESI仿宋-GB2312" w:eastAsia="CESI楷体-GB2312" w:cs="CESI仿宋-GB2312"/>
          <w:bCs/>
          <w:color w:val="auto"/>
          <w:sz w:val="32"/>
          <w:szCs w:val="32"/>
          <w:lang w:val="en-US" w:eastAsia="zh-CN"/>
        </w:rPr>
      </w:pPr>
    </w:p>
    <w:p>
      <w:pPr>
        <w:keepNext w:val="0"/>
        <w:keepLines w:val="0"/>
        <w:pageBreakBefore w:val="0"/>
        <w:widowControl w:val="0"/>
        <w:numPr>
          <w:ilvl w:val="0"/>
          <w:numId w:val="0"/>
        </w:numPr>
        <w:tabs>
          <w:tab w:val="left" w:pos="615"/>
        </w:tabs>
        <w:kinsoku/>
        <w:wordWrap/>
        <w:overflowPunct/>
        <w:topLinePunct w:val="0"/>
        <w:autoSpaceDE/>
        <w:autoSpaceDN/>
        <w:bidi w:val="0"/>
        <w:adjustRightInd/>
        <w:snapToGrid/>
        <w:spacing w:line="240" w:lineRule="auto"/>
        <w:ind w:left="0" w:leftChars="0" w:firstLine="640" w:firstLineChars="200"/>
        <w:textAlignment w:val="auto"/>
        <w:rPr>
          <w:rFonts w:hint="eastAsia" w:ascii="CESI楷体-GB2312" w:hAnsi="CESI楷体-GB2312" w:eastAsia="CESI楷体-GB2312" w:cs="CESI楷体-GB2312"/>
          <w:b/>
          <w:bCs w:val="0"/>
          <w:sz w:val="32"/>
          <w:szCs w:val="32"/>
          <w:lang w:eastAsia="zh-CN"/>
        </w:rPr>
      </w:pPr>
    </w:p>
    <w:p>
      <w:pPr>
        <w:ind w:firstLine="640" w:firstLineChars="200"/>
        <w:rPr>
          <w:rFonts w:hint="eastAsia"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43"/>
    <w:rsid w:val="004F5EC1"/>
    <w:rsid w:val="006A37D5"/>
    <w:rsid w:val="006F6832"/>
    <w:rsid w:val="00BD479A"/>
    <w:rsid w:val="00BE0CE5"/>
    <w:rsid w:val="00D46743"/>
    <w:rsid w:val="042D0756"/>
    <w:rsid w:val="059A40E4"/>
    <w:rsid w:val="106B41AD"/>
    <w:rsid w:val="107958DD"/>
    <w:rsid w:val="15B75868"/>
    <w:rsid w:val="15DA2BDE"/>
    <w:rsid w:val="17EA7C91"/>
    <w:rsid w:val="1C0D285A"/>
    <w:rsid w:val="23F5FCA6"/>
    <w:rsid w:val="30E1781C"/>
    <w:rsid w:val="370329C4"/>
    <w:rsid w:val="378F81FA"/>
    <w:rsid w:val="3B3C343B"/>
    <w:rsid w:val="3BF70020"/>
    <w:rsid w:val="434026B1"/>
    <w:rsid w:val="440704BF"/>
    <w:rsid w:val="484A1D6B"/>
    <w:rsid w:val="48F43957"/>
    <w:rsid w:val="5479047F"/>
    <w:rsid w:val="57AA7324"/>
    <w:rsid w:val="61C81A7E"/>
    <w:rsid w:val="6787438B"/>
    <w:rsid w:val="69A5683E"/>
    <w:rsid w:val="744A1CF7"/>
    <w:rsid w:val="76CB73B7"/>
    <w:rsid w:val="7CDD150C"/>
    <w:rsid w:val="7EC817F7"/>
    <w:rsid w:val="B2E63A75"/>
    <w:rsid w:val="DFF144F9"/>
    <w:rsid w:val="FF579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spacing w:line="240" w:lineRule="atLeast"/>
      <w:ind w:firstLine="0" w:firstLineChars="0"/>
    </w:pPr>
    <w:rPr>
      <w:rFonts w:ascii="Times New Roman" w:hAnsi="Times New Roman" w:eastAsia="仿宋"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152</Words>
  <Characters>867</Characters>
  <Lines>7</Lines>
  <Paragraphs>2</Paragraphs>
  <TotalTime>30</TotalTime>
  <ScaleCrop>false</ScaleCrop>
  <LinksUpToDate>false</LinksUpToDate>
  <CharactersWithSpaces>1017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2020-07-07T02:32:00Z</dcterms:created>
  <dc:creator>lenovo</dc:creator>
  <cp:lastModifiedBy>inspur</cp:lastModifiedBy>
  <dcterms:modified xsi:type="dcterms:W3CDTF">2024-11-08T11:15:19Z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3E5045CCDA8845E4806BA8C88E6A6223</vt:lpwstr>
  </property>
</Properties>
</file>